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40F2">
      <w:pPr>
        <w:keepNext w:val="0"/>
        <w:keepLines w:val="0"/>
        <w:pageBreakBefore w:val="0"/>
        <w:widowControl w:val="0"/>
        <w:spacing w:line="560" w:lineRule="exact"/>
        <w:ind w:left="2100" w:right="2100"/>
        <w:jc w:val="center"/>
        <w:outlineLvl w:val="9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评分方法</w:t>
      </w:r>
    </w:p>
    <w:p w14:paraId="3D6E4762">
      <w:pPr>
        <w:pStyle w:val="2"/>
        <w:keepNext w:val="0"/>
        <w:keepLines w:val="0"/>
        <w:pageBreakBefore w:val="0"/>
        <w:widowControl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F7E1F0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60" w:lineRule="exact"/>
        <w:ind w:firstLine="640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一、评分原则</w:t>
      </w:r>
    </w:p>
    <w:p w14:paraId="2782A2A7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)评审依据：以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文件为评定依据进行评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6487320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)评审办法：采用百分制综合评分法。</w:t>
      </w:r>
    </w:p>
    <w:p w14:paraId="62554AA1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二、评分方法</w:t>
      </w:r>
    </w:p>
    <w:p w14:paraId="610682EC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评审小组对报价人的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文件资格性和符合性进行检查，对合格的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文件，采用百分制综合评分法进行评审。</w:t>
      </w:r>
    </w:p>
    <w:p w14:paraId="7EA2B3EA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评审小组将以采购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文件为评审依据，提出最后总得分最高的报价人作为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项目成交供应商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482F822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三、评分细则（按四舍五入取至百分位）</w:t>
      </w:r>
    </w:p>
    <w:tbl>
      <w:tblPr>
        <w:tblStyle w:val="15"/>
        <w:tblW w:w="879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94"/>
        <w:gridCol w:w="6336"/>
      </w:tblGrid>
      <w:tr w14:paraId="30B7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61" w:type="dxa"/>
            <w:shd w:val="clear" w:color="auto" w:fill="auto"/>
            <w:noWrap w:val="0"/>
            <w:vAlign w:val="center"/>
          </w:tcPr>
          <w:p w14:paraId="232FFAB8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right="-105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4901F9F7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right="-105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评分项目</w:t>
            </w: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00A712D1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评分细则</w:t>
            </w:r>
          </w:p>
        </w:tc>
      </w:tr>
      <w:tr w14:paraId="3980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tblCellSpacing w:w="0" w:type="dxa"/>
          <w:jc w:val="center"/>
        </w:trPr>
        <w:tc>
          <w:tcPr>
            <w:tcW w:w="861" w:type="dxa"/>
            <w:shd w:val="clear" w:color="auto" w:fill="auto"/>
            <w:noWrap w:val="0"/>
            <w:vAlign w:val="center"/>
          </w:tcPr>
          <w:p w14:paraId="017C781B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122DD9A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  <w:t>分值构成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  <w:t>(总分100分)</w:t>
            </w:r>
          </w:p>
          <w:p w14:paraId="7149217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24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77DD15C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24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  <w:t>⑴报价：30分；</w:t>
            </w:r>
          </w:p>
          <w:p w14:paraId="08E503F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24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  <w:t>⑵技术部分：50分；</w:t>
            </w:r>
          </w:p>
          <w:p w14:paraId="1408008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24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  <w:t>⑶商务部分：20分；</w:t>
            </w:r>
          </w:p>
          <w:p w14:paraId="0C178D3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24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 w:bidi="ar"/>
              </w:rPr>
            </w:pPr>
          </w:p>
        </w:tc>
      </w:tr>
      <w:tr w14:paraId="1BD2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tblCellSpacing w:w="0" w:type="dxa"/>
          <w:jc w:val="center"/>
        </w:trPr>
        <w:tc>
          <w:tcPr>
            <w:tcW w:w="861" w:type="dxa"/>
            <w:shd w:val="clear" w:color="auto" w:fill="auto"/>
            <w:noWrap w:val="0"/>
            <w:vAlign w:val="center"/>
          </w:tcPr>
          <w:p w14:paraId="5F3F8B7F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7F637AEF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价格分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  <w:p w14:paraId="36972D8E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0B6AD427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不超过最高投标限价的申请人投标报价为有效报价。本次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中，以进入综合评分环节的最低报价为评标基准价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评分细则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。</w:t>
            </w:r>
          </w:p>
          <w:p w14:paraId="2AB623B1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6E006A5F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示例：某报价人价格分=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评标基准价（元）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0分</w:t>
            </w:r>
          </w:p>
          <w:p w14:paraId="4B06857A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某报价人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评标报价（元）</w:t>
            </w:r>
            <w:bookmarkEnd w:id="0"/>
          </w:p>
          <w:p w14:paraId="50CF2825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4C6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tblCellSpacing w:w="0" w:type="dxa"/>
          <w:jc w:val="center"/>
        </w:trPr>
        <w:tc>
          <w:tcPr>
            <w:tcW w:w="861" w:type="dxa"/>
            <w:vMerge w:val="restart"/>
            <w:shd w:val="clear" w:color="auto" w:fill="auto"/>
            <w:noWrap w:val="0"/>
            <w:vAlign w:val="center"/>
          </w:tcPr>
          <w:p w14:paraId="3245DFEB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2.技术部分（50分）</w:t>
            </w: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0A6E4B48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技术条款响应</w:t>
            </w:r>
          </w:p>
          <w:p w14:paraId="72BD587F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（30分） </w:t>
            </w: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6E2DC43F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供应商所投产品技术参数符合文件要求的,得30分；加"▲"的每有一项参数负偏离文件要求的，扣5分，未加"▲"每有一项参数负偏离文件要求的，扣3分；扣完为止。</w:t>
            </w:r>
          </w:p>
        </w:tc>
      </w:tr>
      <w:tr w14:paraId="31AA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tblCellSpacing w:w="0" w:type="dxa"/>
          <w:jc w:val="center"/>
        </w:trPr>
        <w:tc>
          <w:tcPr>
            <w:tcW w:w="861" w:type="dxa"/>
            <w:vMerge w:val="continue"/>
            <w:shd w:val="clear" w:color="auto" w:fill="auto"/>
            <w:noWrap w:val="0"/>
            <w:vAlign w:val="center"/>
          </w:tcPr>
          <w:p w14:paraId="0DD915EE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3F2B828D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实施方案</w:t>
            </w:r>
          </w:p>
          <w:p w14:paraId="5122B1E2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6FEC3CB5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供应商提供所投产品的供货、调试、交工验收等方案具体、详细、可行，有利于项目实施，且科学、合理，符合国家相关标准及规定的得8-10分；</w:t>
            </w:r>
          </w:p>
          <w:p w14:paraId="585DA615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供货及调试方案内容详实，方案合理、可操作性强的得4-7分；</w:t>
            </w:r>
          </w:p>
          <w:p w14:paraId="28C62E93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供货及调试方案内容完整，方案合理，可操作性一般的得0-3分；</w:t>
            </w:r>
          </w:p>
          <w:p w14:paraId="5FDEDB6B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无此项内容的不得分。</w:t>
            </w:r>
          </w:p>
        </w:tc>
      </w:tr>
      <w:tr w14:paraId="7E52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tblCellSpacing w:w="0" w:type="dxa"/>
          <w:jc w:val="center"/>
        </w:trPr>
        <w:tc>
          <w:tcPr>
            <w:tcW w:w="861" w:type="dxa"/>
            <w:vMerge w:val="continue"/>
            <w:shd w:val="clear" w:color="auto" w:fill="auto"/>
            <w:noWrap w:val="0"/>
            <w:vAlign w:val="center"/>
          </w:tcPr>
          <w:p w14:paraId="7C4227FC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36B63549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技术培训</w:t>
            </w:r>
          </w:p>
          <w:p w14:paraId="6F549056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35612630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根据供应商提供的培训方案的详细性、培训计划周密性、培训内容全面性、课程安排合理性方面等进行综合评价：</w:t>
            </w:r>
          </w:p>
          <w:p w14:paraId="30FC843A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培训方案非常完善、详细，培训内容全面，可实施性强得8-10分；</w:t>
            </w:r>
          </w:p>
          <w:p w14:paraId="68360A70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培训方案比较完善、详细，培训内容比较全面得4-7分；</w:t>
            </w:r>
          </w:p>
          <w:p w14:paraId="46328769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培训方案一般，培训内容基本完善得0-3分；</w:t>
            </w:r>
          </w:p>
          <w:p w14:paraId="3C2FA47F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无此项内容的不得分。</w:t>
            </w:r>
          </w:p>
        </w:tc>
      </w:tr>
      <w:tr w14:paraId="7BBF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tblCellSpacing w:w="0" w:type="dxa"/>
          <w:jc w:val="center"/>
        </w:trPr>
        <w:tc>
          <w:tcPr>
            <w:tcW w:w="861" w:type="dxa"/>
            <w:vMerge w:val="restart"/>
            <w:shd w:val="clear" w:color="auto" w:fill="auto"/>
            <w:noWrap w:val="0"/>
            <w:vAlign w:val="center"/>
          </w:tcPr>
          <w:p w14:paraId="5BFD3DEE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3.商务部分（20分）</w:t>
            </w: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7F4EF16D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供应商实力</w:t>
            </w:r>
          </w:p>
          <w:p w14:paraId="4F3A460B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（3分）</w:t>
            </w: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6F979EB7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供应商具有质量管理体系认证证书、环境管理体系认证证书、职业健康安全管理体系认证证书的每提供一个得1分，最高3分。</w:t>
            </w:r>
          </w:p>
          <w:p w14:paraId="7C6B16DC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注：以上证书需在报价文件中提供证书复印件并加盖公章。</w:t>
            </w:r>
          </w:p>
        </w:tc>
      </w:tr>
      <w:tr w14:paraId="453B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tblCellSpacing w:w="0" w:type="dxa"/>
          <w:jc w:val="center"/>
        </w:trPr>
        <w:tc>
          <w:tcPr>
            <w:tcW w:w="861" w:type="dxa"/>
            <w:vMerge w:val="continue"/>
            <w:shd w:val="clear" w:color="auto" w:fill="auto"/>
            <w:noWrap w:val="0"/>
            <w:vAlign w:val="center"/>
          </w:tcPr>
          <w:p w14:paraId="6CE44CE6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54BAACB9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人员证书</w:t>
            </w:r>
          </w:p>
          <w:p w14:paraId="4DA25EE6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(3分)</w:t>
            </w: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1555DFB0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供应商针对本项目提供拟派本项目的项目负责人，具有人社部和工信部颁发的信息系统项目管理师专业高级职称的得3分；须在报价文件中提供拟派负责人证书、单位为其缴纳半年以上的社保证明，未提供或提供不全的不得分。</w:t>
            </w:r>
          </w:p>
          <w:p w14:paraId="7E5DD059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注：需在报价文件中提供证书复印件和社保证明并加盖公章。。</w:t>
            </w:r>
          </w:p>
        </w:tc>
      </w:tr>
      <w:tr w14:paraId="736A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tblCellSpacing w:w="0" w:type="dxa"/>
          <w:jc w:val="center"/>
        </w:trPr>
        <w:tc>
          <w:tcPr>
            <w:tcW w:w="861" w:type="dxa"/>
            <w:vMerge w:val="continue"/>
            <w:shd w:val="clear" w:color="auto" w:fill="auto"/>
            <w:noWrap w:val="0"/>
            <w:vAlign w:val="center"/>
          </w:tcPr>
          <w:p w14:paraId="2EF3058D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14A3A801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类似业绩</w:t>
            </w:r>
          </w:p>
          <w:p w14:paraId="47BAF5D3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（4分）</w:t>
            </w: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6311FABB">
            <w:pPr>
              <w:ind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每提供一份2023年1月1日以来（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"/>
              </w:rPr>
              <w:t>以合同签订时间为准）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与本项目类似业绩的得2分，满分4分。没有不得分。</w:t>
            </w:r>
          </w:p>
        </w:tc>
      </w:tr>
      <w:tr w14:paraId="2092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tblCellSpacing w:w="0" w:type="dxa"/>
          <w:jc w:val="center"/>
        </w:trPr>
        <w:tc>
          <w:tcPr>
            <w:tcW w:w="861" w:type="dxa"/>
            <w:vMerge w:val="continue"/>
            <w:shd w:val="clear" w:color="auto" w:fill="auto"/>
            <w:noWrap w:val="0"/>
            <w:vAlign w:val="center"/>
          </w:tcPr>
          <w:p w14:paraId="62EEEA18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5FFCFBD9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售后服务</w:t>
            </w:r>
          </w:p>
          <w:p w14:paraId="7335F022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46BADC3F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供应商提供针对本项目的售后服务方案，质保期限情况，对质保期内出现问题所采取的措施（包括但不限于技术服务方案、保障措施、售后服务时间、响应时限等）的可行性、完整性，服务承诺落实的保障措施等：售后服务计划内容齐全，叙述完善，针对性强，整体思路科学合理，可操作性强的得8-10分；</w:t>
            </w:r>
          </w:p>
          <w:p w14:paraId="720FA993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售后服务计划内容齐全，叙述完善，针对性较强，整体思路科学合理，可操作性较强的得4-7分；</w:t>
            </w:r>
          </w:p>
          <w:p w14:paraId="43BB81D7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售后服务计划内容齐全，叙述完善，针对性一般，整体思路一般，可操作性一般的得0-3分；</w:t>
            </w:r>
          </w:p>
          <w:p w14:paraId="0040021F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无此项内容的不得分。</w:t>
            </w:r>
          </w:p>
        </w:tc>
      </w:tr>
      <w:tr w14:paraId="191C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2455" w:type="dxa"/>
            <w:gridSpan w:val="2"/>
            <w:shd w:val="clear" w:color="auto" w:fill="auto"/>
            <w:noWrap w:val="0"/>
            <w:vAlign w:val="center"/>
          </w:tcPr>
          <w:p w14:paraId="34D5F7D6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总得分</w:t>
            </w:r>
          </w:p>
        </w:tc>
        <w:tc>
          <w:tcPr>
            <w:tcW w:w="6336" w:type="dxa"/>
            <w:shd w:val="clear" w:color="auto" w:fill="auto"/>
            <w:noWrap w:val="0"/>
            <w:vAlign w:val="center"/>
          </w:tcPr>
          <w:p w14:paraId="7D182A2E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1+2+3</w:t>
            </w:r>
          </w:p>
        </w:tc>
      </w:tr>
    </w:tbl>
    <w:p w14:paraId="378C9D50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43AE494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default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四、成交候选人推荐原则及异常低价审查程序</w:t>
      </w:r>
    </w:p>
    <w:p w14:paraId="64E7B671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（一）评审小组按报价人的总得分由高到低排列成交候选人顺序（总得分相同的，由全体评审小组人员投票确定），并依照次序确定成交候选人。采购人应当确定评审小组推荐排名第一的成交候选人为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此次项目成交供应商。</w:t>
      </w:r>
    </w:p>
    <w:p w14:paraId="559011D6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）评审中出现下列情形之一的，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评审小组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应当启动异常低价投标（响应）审查程序： </w:t>
      </w:r>
    </w:p>
    <w:p w14:paraId="7D4F5058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1.投标（响应）报价低于全部通过符合性审查供应商投标（响应）报价平均值50%的，即投标（响应）报价&lt;全部通过符合性审查供应商投标（响应）报价平均值×50%； </w:t>
      </w:r>
    </w:p>
    <w:p w14:paraId="292BD076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2.投标（响应）报价低于通过符合性审查的次低报价供应商投标（响应）报价50%的，即投标（响应）报价&lt;通过符合性审查的次低报价供应商投标（响应）报价×50%； </w:t>
      </w:r>
    </w:p>
    <w:p w14:paraId="76CF8A72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3.投标（响应）报价低于采购项目最高限价45%的，即投标（响应）报价&lt;采购项目最高限价×45%； </w:t>
      </w:r>
    </w:p>
    <w:p w14:paraId="11AFC1A5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评审小组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基于专业判断，认为供应商报价过低，有可能影响产品质量或者不能诚信履约的其他情形。 </w:t>
      </w:r>
    </w:p>
    <w:p w14:paraId="44A86CAC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评审小组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启动异常低价投标（响应）审查后，应当要求其在规定的期限内提供书面文件予以解释说明，并提交相关证明材料，投标（响应）供应商不能提供书面说明、证明材料，或者提供的书面说明、证明材料不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能证明其报价合理性的，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评审小组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应当将其作为无效投标（响应）处理。</w:t>
      </w:r>
    </w:p>
    <w:p w14:paraId="6C4376F2">
      <w:pPr>
        <w:widowControl/>
        <w:spacing w:line="240" w:lineRule="auto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BA4D4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1BB46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2C3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14DD3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65267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A9816"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97257"/>
    <w:multiLevelType w:val="multilevel"/>
    <w:tmpl w:val="09897257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D0"/>
    <w:rsid w:val="00033CE2"/>
    <w:rsid w:val="00054950"/>
    <w:rsid w:val="000573C9"/>
    <w:rsid w:val="000623C6"/>
    <w:rsid w:val="000675CF"/>
    <w:rsid w:val="000805BA"/>
    <w:rsid w:val="00082312"/>
    <w:rsid w:val="000B1242"/>
    <w:rsid w:val="000B7BD2"/>
    <w:rsid w:val="000F7582"/>
    <w:rsid w:val="000F7DE6"/>
    <w:rsid w:val="00104265"/>
    <w:rsid w:val="0010691C"/>
    <w:rsid w:val="0011525F"/>
    <w:rsid w:val="00115389"/>
    <w:rsid w:val="00120168"/>
    <w:rsid w:val="00134C76"/>
    <w:rsid w:val="001600F7"/>
    <w:rsid w:val="001835A4"/>
    <w:rsid w:val="001C1668"/>
    <w:rsid w:val="001D3B8E"/>
    <w:rsid w:val="001D4026"/>
    <w:rsid w:val="001E6733"/>
    <w:rsid w:val="001F3770"/>
    <w:rsid w:val="00210530"/>
    <w:rsid w:val="002130C9"/>
    <w:rsid w:val="0021375B"/>
    <w:rsid w:val="00213EF3"/>
    <w:rsid w:val="002222D0"/>
    <w:rsid w:val="00225126"/>
    <w:rsid w:val="00226A3D"/>
    <w:rsid w:val="0022786A"/>
    <w:rsid w:val="00234909"/>
    <w:rsid w:val="00237E14"/>
    <w:rsid w:val="00243E46"/>
    <w:rsid w:val="00257AB7"/>
    <w:rsid w:val="00260B65"/>
    <w:rsid w:val="002900D6"/>
    <w:rsid w:val="002902A2"/>
    <w:rsid w:val="00291C9A"/>
    <w:rsid w:val="002A0722"/>
    <w:rsid w:val="002B42DF"/>
    <w:rsid w:val="002B760F"/>
    <w:rsid w:val="002C272D"/>
    <w:rsid w:val="002E0D36"/>
    <w:rsid w:val="00305090"/>
    <w:rsid w:val="00321CA8"/>
    <w:rsid w:val="00330149"/>
    <w:rsid w:val="003508B5"/>
    <w:rsid w:val="00353BF7"/>
    <w:rsid w:val="00386902"/>
    <w:rsid w:val="0038767E"/>
    <w:rsid w:val="003929C6"/>
    <w:rsid w:val="003A6AA9"/>
    <w:rsid w:val="003C10E3"/>
    <w:rsid w:val="003D4F65"/>
    <w:rsid w:val="003F549D"/>
    <w:rsid w:val="004030F8"/>
    <w:rsid w:val="004034F0"/>
    <w:rsid w:val="00422AF2"/>
    <w:rsid w:val="0042474A"/>
    <w:rsid w:val="00430DA3"/>
    <w:rsid w:val="00443110"/>
    <w:rsid w:val="004547FC"/>
    <w:rsid w:val="0045668F"/>
    <w:rsid w:val="00457CF2"/>
    <w:rsid w:val="00464CB8"/>
    <w:rsid w:val="00487CFF"/>
    <w:rsid w:val="004915B7"/>
    <w:rsid w:val="0049785B"/>
    <w:rsid w:val="004A1BD1"/>
    <w:rsid w:val="004A20CB"/>
    <w:rsid w:val="004B4DC6"/>
    <w:rsid w:val="004D42DB"/>
    <w:rsid w:val="004E7A15"/>
    <w:rsid w:val="005476FF"/>
    <w:rsid w:val="00573A67"/>
    <w:rsid w:val="005756F8"/>
    <w:rsid w:val="0057761C"/>
    <w:rsid w:val="00580B20"/>
    <w:rsid w:val="00591216"/>
    <w:rsid w:val="005925E7"/>
    <w:rsid w:val="00597D55"/>
    <w:rsid w:val="005B165C"/>
    <w:rsid w:val="005E2EAA"/>
    <w:rsid w:val="005E6136"/>
    <w:rsid w:val="005E7305"/>
    <w:rsid w:val="005F12E3"/>
    <w:rsid w:val="005F1739"/>
    <w:rsid w:val="006171B2"/>
    <w:rsid w:val="00622F15"/>
    <w:rsid w:val="006340A2"/>
    <w:rsid w:val="006572D1"/>
    <w:rsid w:val="00664CC8"/>
    <w:rsid w:val="00673F05"/>
    <w:rsid w:val="0068608B"/>
    <w:rsid w:val="0069451C"/>
    <w:rsid w:val="006C30C8"/>
    <w:rsid w:val="006D6F45"/>
    <w:rsid w:val="006D7742"/>
    <w:rsid w:val="006E6A14"/>
    <w:rsid w:val="006F5586"/>
    <w:rsid w:val="007114B1"/>
    <w:rsid w:val="007430BE"/>
    <w:rsid w:val="00765B4B"/>
    <w:rsid w:val="0077396A"/>
    <w:rsid w:val="00781204"/>
    <w:rsid w:val="007A0424"/>
    <w:rsid w:val="007B3650"/>
    <w:rsid w:val="007D425C"/>
    <w:rsid w:val="007F38D4"/>
    <w:rsid w:val="00804365"/>
    <w:rsid w:val="0080771E"/>
    <w:rsid w:val="008161DB"/>
    <w:rsid w:val="0083626C"/>
    <w:rsid w:val="00856375"/>
    <w:rsid w:val="00856A7D"/>
    <w:rsid w:val="008617C7"/>
    <w:rsid w:val="0088083E"/>
    <w:rsid w:val="00883EC0"/>
    <w:rsid w:val="008B1D5A"/>
    <w:rsid w:val="008B7CBA"/>
    <w:rsid w:val="008C20BA"/>
    <w:rsid w:val="008C7A43"/>
    <w:rsid w:val="008D7E3F"/>
    <w:rsid w:val="008E05D5"/>
    <w:rsid w:val="008E3C9E"/>
    <w:rsid w:val="00924E12"/>
    <w:rsid w:val="0093550D"/>
    <w:rsid w:val="0093740B"/>
    <w:rsid w:val="00951E75"/>
    <w:rsid w:val="009530B8"/>
    <w:rsid w:val="00955CB9"/>
    <w:rsid w:val="00956E79"/>
    <w:rsid w:val="0097674F"/>
    <w:rsid w:val="009C1FE6"/>
    <w:rsid w:val="009C75AE"/>
    <w:rsid w:val="009E2545"/>
    <w:rsid w:val="009F1F47"/>
    <w:rsid w:val="009F27E1"/>
    <w:rsid w:val="00A04065"/>
    <w:rsid w:val="00A21A9E"/>
    <w:rsid w:val="00A4166C"/>
    <w:rsid w:val="00A46623"/>
    <w:rsid w:val="00A67A8B"/>
    <w:rsid w:val="00A77D4A"/>
    <w:rsid w:val="00AA783A"/>
    <w:rsid w:val="00AE2F10"/>
    <w:rsid w:val="00B012A9"/>
    <w:rsid w:val="00B21927"/>
    <w:rsid w:val="00B42BA3"/>
    <w:rsid w:val="00B43799"/>
    <w:rsid w:val="00B450C2"/>
    <w:rsid w:val="00B465E6"/>
    <w:rsid w:val="00B5662E"/>
    <w:rsid w:val="00B56C1D"/>
    <w:rsid w:val="00B66A97"/>
    <w:rsid w:val="00B80194"/>
    <w:rsid w:val="00B82730"/>
    <w:rsid w:val="00B85292"/>
    <w:rsid w:val="00B863D1"/>
    <w:rsid w:val="00B94069"/>
    <w:rsid w:val="00BC01EB"/>
    <w:rsid w:val="00BE3B6D"/>
    <w:rsid w:val="00BE3CBB"/>
    <w:rsid w:val="00BF4488"/>
    <w:rsid w:val="00C00572"/>
    <w:rsid w:val="00C01178"/>
    <w:rsid w:val="00C21A1B"/>
    <w:rsid w:val="00C279F6"/>
    <w:rsid w:val="00C27B72"/>
    <w:rsid w:val="00C33704"/>
    <w:rsid w:val="00C33CAF"/>
    <w:rsid w:val="00C352CB"/>
    <w:rsid w:val="00C54DA2"/>
    <w:rsid w:val="00C648F1"/>
    <w:rsid w:val="00C70CDB"/>
    <w:rsid w:val="00C931BA"/>
    <w:rsid w:val="00C96C8C"/>
    <w:rsid w:val="00CB0C5E"/>
    <w:rsid w:val="00CC003B"/>
    <w:rsid w:val="00CD1A91"/>
    <w:rsid w:val="00CD74D1"/>
    <w:rsid w:val="00CE3F80"/>
    <w:rsid w:val="00CE4D68"/>
    <w:rsid w:val="00CF46CE"/>
    <w:rsid w:val="00CF4BD8"/>
    <w:rsid w:val="00CF7596"/>
    <w:rsid w:val="00D07186"/>
    <w:rsid w:val="00D1227D"/>
    <w:rsid w:val="00D132AF"/>
    <w:rsid w:val="00D20CE3"/>
    <w:rsid w:val="00D5108F"/>
    <w:rsid w:val="00D5430E"/>
    <w:rsid w:val="00D54DAB"/>
    <w:rsid w:val="00D6198A"/>
    <w:rsid w:val="00D65BAA"/>
    <w:rsid w:val="00D97791"/>
    <w:rsid w:val="00DB4B4F"/>
    <w:rsid w:val="00DB7842"/>
    <w:rsid w:val="00DF2DF8"/>
    <w:rsid w:val="00DF4C24"/>
    <w:rsid w:val="00E20F30"/>
    <w:rsid w:val="00E25B55"/>
    <w:rsid w:val="00E272AC"/>
    <w:rsid w:val="00E3023E"/>
    <w:rsid w:val="00E33930"/>
    <w:rsid w:val="00E47707"/>
    <w:rsid w:val="00E53D5E"/>
    <w:rsid w:val="00E66A41"/>
    <w:rsid w:val="00E7006D"/>
    <w:rsid w:val="00E71B75"/>
    <w:rsid w:val="00E9553C"/>
    <w:rsid w:val="00EB18B7"/>
    <w:rsid w:val="00EC3700"/>
    <w:rsid w:val="00EC3761"/>
    <w:rsid w:val="00ED4E7E"/>
    <w:rsid w:val="00EE25C1"/>
    <w:rsid w:val="00EF0B37"/>
    <w:rsid w:val="00F030C0"/>
    <w:rsid w:val="00F06E31"/>
    <w:rsid w:val="00F1161B"/>
    <w:rsid w:val="00F27660"/>
    <w:rsid w:val="00F27A2D"/>
    <w:rsid w:val="00F33279"/>
    <w:rsid w:val="00F478F9"/>
    <w:rsid w:val="00F669FC"/>
    <w:rsid w:val="00F671C5"/>
    <w:rsid w:val="00F8558E"/>
    <w:rsid w:val="00F8559E"/>
    <w:rsid w:val="00F96A71"/>
    <w:rsid w:val="00FA0C5F"/>
    <w:rsid w:val="00FB0B76"/>
    <w:rsid w:val="02832A46"/>
    <w:rsid w:val="04A44EF6"/>
    <w:rsid w:val="068F0ACF"/>
    <w:rsid w:val="075C1AB8"/>
    <w:rsid w:val="103435D2"/>
    <w:rsid w:val="157F52EF"/>
    <w:rsid w:val="21EB5BA8"/>
    <w:rsid w:val="24EE7D9B"/>
    <w:rsid w:val="2524556B"/>
    <w:rsid w:val="259E0815"/>
    <w:rsid w:val="2734580E"/>
    <w:rsid w:val="274A2DBF"/>
    <w:rsid w:val="27CE17BE"/>
    <w:rsid w:val="2A7725E1"/>
    <w:rsid w:val="2D60063D"/>
    <w:rsid w:val="2E76495E"/>
    <w:rsid w:val="33A61841"/>
    <w:rsid w:val="341449FD"/>
    <w:rsid w:val="34216FDA"/>
    <w:rsid w:val="36B67FED"/>
    <w:rsid w:val="391D07F7"/>
    <w:rsid w:val="3F40409C"/>
    <w:rsid w:val="45A858ED"/>
    <w:rsid w:val="4B4B6DB8"/>
    <w:rsid w:val="5A1D0200"/>
    <w:rsid w:val="5BA07D48"/>
    <w:rsid w:val="6FE03169"/>
    <w:rsid w:val="71D03E54"/>
    <w:rsid w:val="7A0F14BB"/>
    <w:rsid w:val="7A6D2811"/>
    <w:rsid w:val="7CF748B6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120" w:after="120" w:line="240" w:lineRule="auto"/>
      <w:ind w:firstLine="0" w:firstLineChars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before="120" w:after="120" w:line="240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pacing w:before="120" w:after="120" w:line="240" w:lineRule="auto"/>
      <w:ind w:firstLine="0" w:firstLineChars="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3"/>
    <w:unhideWhenUsed/>
    <w:qFormat/>
    <w:uiPriority w:val="9"/>
    <w:pPr>
      <w:keepNext/>
      <w:keepLines/>
      <w:numPr>
        <w:ilvl w:val="3"/>
        <w:numId w:val="1"/>
      </w:numPr>
      <w:spacing w:before="120" w:after="120" w:line="240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1"/>
      </w:numPr>
      <w:spacing w:before="120" w:after="120" w:line="240" w:lineRule="auto"/>
      <w:ind w:firstLine="0" w:firstLineChars="0"/>
      <w:outlineLvl w:val="4"/>
    </w:pPr>
    <w:rPr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8">
    <w:name w:val="Body Text"/>
    <w:basedOn w:val="1"/>
    <w:link w:val="27"/>
    <w:semiHidden/>
    <w:unhideWhenUsed/>
    <w:qFormat/>
    <w:uiPriority w:val="99"/>
    <w:pPr>
      <w:spacing w:after="120"/>
    </w:pPr>
  </w:style>
  <w:style w:type="paragraph" w:styleId="9">
    <w:name w:val="Body Text Indent"/>
    <w:basedOn w:val="1"/>
    <w:link w:val="29"/>
    <w:semiHidden/>
    <w:unhideWhenUsed/>
    <w:qFormat/>
    <w:uiPriority w:val="99"/>
    <w:pPr>
      <w:spacing w:after="120"/>
      <w:ind w:left="420" w:leftChars="200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13">
    <w:name w:val="Body Text First Indent"/>
    <w:basedOn w:val="8"/>
    <w:next w:val="14"/>
    <w:link w:val="28"/>
    <w:unhideWhenUsed/>
    <w:qFormat/>
    <w:uiPriority w:val="99"/>
    <w:pPr>
      <w:spacing w:after="0" w:line="240" w:lineRule="auto"/>
      <w:ind w:firstLine="420" w:firstLineChars="100"/>
    </w:pPr>
    <w:rPr>
      <w:rFonts w:ascii="Times New Roman" w:hAnsi="Times New Roman" w:eastAsia="仿宋_GB2312" w:cs="Times New Roman"/>
      <w:sz w:val="28"/>
      <w:szCs w:val="30"/>
    </w:rPr>
  </w:style>
  <w:style w:type="paragraph" w:styleId="14">
    <w:name w:val="Body Text First Indent 2"/>
    <w:basedOn w:val="9"/>
    <w:link w:val="30"/>
    <w:semiHidden/>
    <w:unhideWhenUsed/>
    <w:qFormat/>
    <w:uiPriority w:val="99"/>
    <w:pPr>
      <w:ind w:firstLine="42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眉 Char"/>
    <w:basedOn w:val="17"/>
    <w:link w:val="11"/>
    <w:qFormat/>
    <w:uiPriority w:val="99"/>
    <w:rPr>
      <w:sz w:val="18"/>
      <w:szCs w:val="18"/>
    </w:rPr>
  </w:style>
  <w:style w:type="character" w:customStyle="1" w:styleId="19">
    <w:name w:val="页脚 Char"/>
    <w:basedOn w:val="17"/>
    <w:link w:val="10"/>
    <w:qFormat/>
    <w:uiPriority w:val="99"/>
    <w:rPr>
      <w:sz w:val="18"/>
      <w:szCs w:val="18"/>
    </w:rPr>
  </w:style>
  <w:style w:type="character" w:customStyle="1" w:styleId="20">
    <w:name w:val="标题 1 Char"/>
    <w:basedOn w:val="17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Char"/>
    <w:basedOn w:val="17"/>
    <w:link w:val="5"/>
    <w:qFormat/>
    <w:uiPriority w:val="9"/>
    <w:rPr>
      <w:b/>
      <w:bCs/>
      <w:sz w:val="32"/>
      <w:szCs w:val="32"/>
    </w:rPr>
  </w:style>
  <w:style w:type="character" w:customStyle="1" w:styleId="23">
    <w:name w:val="标题 4 Char"/>
    <w:basedOn w:val="1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Char"/>
    <w:basedOn w:val="17"/>
    <w:link w:val="7"/>
    <w:qFormat/>
    <w:uiPriority w:val="9"/>
    <w:rPr>
      <w:b/>
      <w:bCs/>
      <w:sz w:val="28"/>
      <w:szCs w:val="28"/>
    </w:rPr>
  </w:style>
  <w:style w:type="paragraph" w:customStyle="1" w:styleId="25">
    <w:name w:val="Table Paragraph"/>
    <w:basedOn w:val="1"/>
    <w:qFormat/>
    <w:uiPriority w:val="1"/>
    <w:pPr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</w:rPr>
  </w:style>
  <w:style w:type="paragraph" w:customStyle="1" w:styleId="26">
    <w:name w:val="无间隔1"/>
    <w:basedOn w:val="1"/>
    <w:qFormat/>
    <w:uiPriority w:val="0"/>
    <w:pPr>
      <w:spacing w:line="400" w:lineRule="exact"/>
      <w:ind w:firstLine="0" w:firstLineChars="0"/>
    </w:pPr>
    <w:rPr>
      <w:rFonts w:ascii="Times New Roman" w:hAnsi="Times New Roman" w:eastAsia="宋体" w:cs="Times New Roman"/>
      <w:szCs w:val="20"/>
    </w:rPr>
  </w:style>
  <w:style w:type="character" w:customStyle="1" w:styleId="27">
    <w:name w:val="正文文本 Char"/>
    <w:basedOn w:val="17"/>
    <w:link w:val="8"/>
    <w:semiHidden/>
    <w:qFormat/>
    <w:uiPriority w:val="99"/>
    <w:rPr>
      <w:sz w:val="24"/>
    </w:rPr>
  </w:style>
  <w:style w:type="character" w:customStyle="1" w:styleId="28">
    <w:name w:val="正文首行缩进 Char"/>
    <w:basedOn w:val="27"/>
    <w:link w:val="13"/>
    <w:qFormat/>
    <w:uiPriority w:val="99"/>
    <w:rPr>
      <w:rFonts w:ascii="Times New Roman" w:hAnsi="Times New Roman" w:eastAsia="仿宋_GB2312" w:cs="Times New Roman"/>
      <w:sz w:val="28"/>
      <w:szCs w:val="30"/>
    </w:rPr>
  </w:style>
  <w:style w:type="character" w:customStyle="1" w:styleId="29">
    <w:name w:val="正文文本缩进 Char"/>
    <w:basedOn w:val="17"/>
    <w:link w:val="9"/>
    <w:semiHidden/>
    <w:qFormat/>
    <w:uiPriority w:val="99"/>
    <w:rPr>
      <w:sz w:val="24"/>
    </w:rPr>
  </w:style>
  <w:style w:type="character" w:customStyle="1" w:styleId="30">
    <w:name w:val="正文首行缩进 2 Char"/>
    <w:basedOn w:val="29"/>
    <w:link w:val="14"/>
    <w:semiHidden/>
    <w:qFormat/>
    <w:uiPriority w:val="99"/>
    <w:rPr>
      <w:sz w:val="24"/>
    </w:rPr>
  </w:style>
  <w:style w:type="paragraph" w:styleId="3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1212</Words>
  <Characters>1253</Characters>
  <Lines>9</Lines>
  <Paragraphs>2</Paragraphs>
  <TotalTime>8</TotalTime>
  <ScaleCrop>false</ScaleCrop>
  <LinksUpToDate>false</LinksUpToDate>
  <CharactersWithSpaces>1287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2023-11-10T08:10:00Z</dcterms:created>
  <dc:creator>rgb</dc:creator>
  <cp:lastModifiedBy>lenovo</cp:lastModifiedBy>
  <dcterms:modified xsi:type="dcterms:W3CDTF">2026-07-03T07:28:32Z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eyJoZGlkIjoiMmM4YTFiYmFkMjg5NjY1NTFhYjQzODAxNGE3MjAzODAiLCJ1c2VySWQiOiI4NjEyNzQ4MTIifQ==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403CF1E275EE48369FD25A1C45C10036_12</vt:lpwstr>
  </property>
</Properties>
</file>